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7B21" w14:textId="3BAFC718" w:rsidR="004860BA" w:rsidRPr="00024AC1" w:rsidRDefault="004860BA" w:rsidP="008928FF">
      <w:pPr>
        <w:rPr>
          <w:rFonts w:cs="Times New Roman"/>
          <w:b/>
          <w:bCs/>
          <w:szCs w:val="24"/>
        </w:rPr>
      </w:pPr>
      <w:r>
        <w:rPr>
          <w:rFonts w:cs="Times New Roman"/>
          <w:b/>
          <w:bCs/>
          <w:szCs w:val="24"/>
        </w:rPr>
        <w:t xml:space="preserve">Critical Friends as Strategic Sounding Boards for Academic Deans </w:t>
      </w:r>
    </w:p>
    <w:p w14:paraId="5607E15C" w14:textId="77777777" w:rsidR="00C3229C" w:rsidRDefault="00C3229C" w:rsidP="008928FF">
      <w:pPr>
        <w:rPr>
          <w:rFonts w:cs="Times New Roman"/>
          <w:szCs w:val="24"/>
        </w:rPr>
      </w:pPr>
    </w:p>
    <w:p w14:paraId="075D6296" w14:textId="77777777" w:rsidR="00C3229C" w:rsidRPr="004F087E" w:rsidRDefault="00C3229C" w:rsidP="008928FF">
      <w:pPr>
        <w:rPr>
          <w:rFonts w:cs="Times New Roman"/>
          <w:szCs w:val="24"/>
        </w:rPr>
      </w:pPr>
      <w:r w:rsidRPr="004F087E">
        <w:rPr>
          <w:rFonts w:cs="Times New Roman"/>
          <w:szCs w:val="24"/>
        </w:rPr>
        <w:t>Shelley Wepner, Manhattanville College</w:t>
      </w:r>
    </w:p>
    <w:p w14:paraId="249BD801" w14:textId="77777777" w:rsidR="00C3229C" w:rsidRDefault="00C3229C" w:rsidP="008928FF">
      <w:pPr>
        <w:rPr>
          <w:rFonts w:cs="Times New Roman"/>
          <w:szCs w:val="24"/>
        </w:rPr>
      </w:pPr>
    </w:p>
    <w:p w14:paraId="09BA6B18" w14:textId="77777777" w:rsidR="00C3229C" w:rsidRPr="004F087E" w:rsidRDefault="00C3229C" w:rsidP="008928FF">
      <w:pPr>
        <w:rPr>
          <w:rFonts w:cs="Times New Roman"/>
          <w:szCs w:val="24"/>
        </w:rPr>
      </w:pPr>
      <w:r w:rsidRPr="004F087E">
        <w:rPr>
          <w:rFonts w:cs="Times New Roman"/>
          <w:szCs w:val="24"/>
        </w:rPr>
        <w:t>Bill Henk, Marquette University Emeritus</w:t>
      </w:r>
    </w:p>
    <w:p w14:paraId="4FAB2B32" w14:textId="77777777" w:rsidR="00C3229C" w:rsidRDefault="00C3229C" w:rsidP="008928FF">
      <w:pPr>
        <w:rPr>
          <w:rFonts w:cs="Times New Roman"/>
          <w:szCs w:val="24"/>
        </w:rPr>
      </w:pPr>
    </w:p>
    <w:p w14:paraId="74A4EED5" w14:textId="77777777" w:rsidR="00C3229C" w:rsidRDefault="00C3229C" w:rsidP="008928FF">
      <w:pPr>
        <w:rPr>
          <w:rFonts w:cs="Times New Roman"/>
          <w:szCs w:val="24"/>
        </w:rPr>
      </w:pPr>
      <w:r>
        <w:rPr>
          <w:rFonts w:cs="Times New Roman"/>
          <w:szCs w:val="24"/>
        </w:rPr>
        <w:t>Nora Broege, Manhattanville College</w:t>
      </w:r>
    </w:p>
    <w:p w14:paraId="766B6121" w14:textId="77777777" w:rsidR="007265BC" w:rsidRDefault="007265BC" w:rsidP="008928FF">
      <w:pPr>
        <w:jc w:val="left"/>
      </w:pPr>
    </w:p>
    <w:p w14:paraId="6C717B95" w14:textId="711957E0" w:rsidR="005B4CD5" w:rsidRDefault="008414AC" w:rsidP="008928FF">
      <w:pPr>
        <w:spacing w:line="480" w:lineRule="auto"/>
        <w:ind w:firstLine="720"/>
        <w:jc w:val="left"/>
      </w:pPr>
      <w:r>
        <w:t xml:space="preserve">Research suggests that </w:t>
      </w:r>
      <w:r w:rsidR="007265BC">
        <w:t xml:space="preserve">academic deans </w:t>
      </w:r>
      <w:r w:rsidR="00F24CD2">
        <w:t>receive limited formal training and instea</w:t>
      </w:r>
      <w:r w:rsidR="00375829">
        <w:t>d</w:t>
      </w:r>
      <w:r w:rsidR="00F24CD2">
        <w:t xml:space="preserve"> </w:t>
      </w:r>
      <w:r w:rsidR="007265BC">
        <w:t xml:space="preserve">essentially learn </w:t>
      </w:r>
      <w:r w:rsidR="007265BC" w:rsidRPr="00365247">
        <w:t>on the job</w:t>
      </w:r>
      <w:r w:rsidR="007265BC">
        <w:t>,</w:t>
      </w:r>
      <w:r w:rsidR="007265BC" w:rsidRPr="00365247">
        <w:t xml:space="preserve"> often as a baptism by fire</w:t>
      </w:r>
      <w:r>
        <w:t xml:space="preserve"> (</w:t>
      </w:r>
      <w:r w:rsidR="008928FF">
        <w:t xml:space="preserve">Hope, 2014; </w:t>
      </w:r>
      <w:r w:rsidR="008928FF" w:rsidRPr="00365247">
        <w:t>Ontiveros &amp; Cogan, n.d.; Raines &amp; Alberg, 2003; Wall, 2015</w:t>
      </w:r>
      <w:r>
        <w:t>)</w:t>
      </w:r>
      <w:r w:rsidR="008928FF">
        <w:t>.</w:t>
      </w:r>
      <w:r>
        <w:t xml:space="preserve">  So</w:t>
      </w:r>
      <w:r w:rsidR="00B209E7">
        <w:t>,</w:t>
      </w:r>
      <w:r>
        <w:t xml:space="preserve"> </w:t>
      </w:r>
      <w:r w:rsidR="007265BC" w:rsidRPr="00365247">
        <w:t xml:space="preserve">it is not surprising that they might stand to </w:t>
      </w:r>
      <w:r w:rsidR="004A5280">
        <w:t xml:space="preserve">benefit </w:t>
      </w:r>
      <w:r w:rsidR="007265BC" w:rsidRPr="00365247">
        <w:t>from candid, dependable, and empathetic counsel from trustworthy colleagues, family members, and friends.</w:t>
      </w:r>
      <w:r w:rsidR="007C1F88">
        <w:t xml:space="preserve"> </w:t>
      </w:r>
      <w:r>
        <w:t xml:space="preserve">These </w:t>
      </w:r>
      <w:r w:rsidR="002B7430" w:rsidRPr="00365247">
        <w:t xml:space="preserve">Critical </w:t>
      </w:r>
      <w:r>
        <w:t>F</w:t>
      </w:r>
      <w:r w:rsidR="002B7430" w:rsidRPr="00365247">
        <w:t>riend</w:t>
      </w:r>
      <w:r w:rsidR="002B7430">
        <w:t>s</w:t>
      </w:r>
      <w:r>
        <w:t xml:space="preserve">, </w:t>
      </w:r>
      <w:r w:rsidR="002B7430" w:rsidRPr="00365247">
        <w:t>colleagues at one’s institution, professionals from other organizations, or other confidantes</w:t>
      </w:r>
      <w:r>
        <w:t xml:space="preserve">, </w:t>
      </w:r>
      <w:r w:rsidR="002B7430" w:rsidRPr="00365247">
        <w:t>can</w:t>
      </w:r>
      <w:r w:rsidR="002B7430">
        <w:t xml:space="preserve"> help</w:t>
      </w:r>
      <w:r w:rsidR="002B7430" w:rsidRPr="00365247">
        <w:t xml:space="preserve"> </w:t>
      </w:r>
      <w:r w:rsidR="002B7430">
        <w:t xml:space="preserve">academic deans </w:t>
      </w:r>
      <w:r w:rsidR="002B7430" w:rsidRPr="00365247">
        <w:t>self-examine the way in which they operate and take actionable steps to realize necessary changes</w:t>
      </w:r>
      <w:r w:rsidR="002B7430">
        <w:t xml:space="preserve"> </w:t>
      </w:r>
      <w:r>
        <w:t>th</w:t>
      </w:r>
      <w:r w:rsidR="007F47C4">
        <w:t>a</w:t>
      </w:r>
      <w:r>
        <w:t xml:space="preserve">t would </w:t>
      </w:r>
      <w:r w:rsidR="002B7430">
        <w:t>help boost their job performance and satisfaction</w:t>
      </w:r>
      <w:r w:rsidR="002B7430" w:rsidRPr="00365247">
        <w:t xml:space="preserve"> (</w:t>
      </w:r>
      <w:r w:rsidR="002B7430">
        <w:t xml:space="preserve">see, for example, </w:t>
      </w:r>
      <w:r w:rsidR="002B7430" w:rsidRPr="00365247">
        <w:t xml:space="preserve">Costa &amp; Kallick, 1993; </w:t>
      </w:r>
      <w:r w:rsidR="005B4CD5">
        <w:t xml:space="preserve">Johnson &amp; Boyd, 2019; </w:t>
      </w:r>
      <w:r w:rsidR="002B7430" w:rsidRPr="00365247">
        <w:t xml:space="preserve">Loughran, &amp; Brubaker, </w:t>
      </w:r>
      <w:r w:rsidR="002B7430" w:rsidRPr="00365247">
        <w:rPr>
          <w:color w:val="000000" w:themeColor="text1"/>
        </w:rPr>
        <w:t>2015</w:t>
      </w:r>
      <w:r w:rsidR="002B7430" w:rsidRPr="00365247">
        <w:t xml:space="preserve">). </w:t>
      </w:r>
    </w:p>
    <w:p w14:paraId="4F710E39" w14:textId="79B90326" w:rsidR="008414AC" w:rsidRDefault="005B4CD5" w:rsidP="008928FF">
      <w:pPr>
        <w:spacing w:line="480" w:lineRule="auto"/>
        <w:ind w:firstLine="720"/>
        <w:jc w:val="left"/>
      </w:pPr>
      <w:r>
        <w:t>The purpose of th</w:t>
      </w:r>
      <w:r w:rsidR="008414AC">
        <w:t>e</w:t>
      </w:r>
      <w:r>
        <w:t xml:space="preserve"> </w:t>
      </w:r>
      <w:r w:rsidR="00F751CC">
        <w:rPr>
          <w:rFonts w:cs="Times New Roman"/>
          <w:szCs w:val="24"/>
        </w:rPr>
        <w:t>current study</w:t>
      </w:r>
      <w:r w:rsidR="004B75F2">
        <w:rPr>
          <w:rFonts w:cs="Times New Roman"/>
          <w:szCs w:val="24"/>
        </w:rPr>
        <w:t>, conducted in partnership with CCAS,</w:t>
      </w:r>
      <w:r>
        <w:rPr>
          <w:rFonts w:cs="Times New Roman"/>
          <w:szCs w:val="24"/>
        </w:rPr>
        <w:t xml:space="preserve"> was to learn </w:t>
      </w:r>
      <w:r>
        <w:t xml:space="preserve">about </w:t>
      </w:r>
      <w:r w:rsidRPr="00365247">
        <w:t>academic deans</w:t>
      </w:r>
      <w:r w:rsidR="00FD6323">
        <w:t>’ perspectives</w:t>
      </w:r>
      <w:r w:rsidRPr="00365247">
        <w:t xml:space="preserve"> on critical friends and the role that they play as a source of continuous, personalized </w:t>
      </w:r>
      <w:r w:rsidR="00FD6323">
        <w:t xml:space="preserve">mentoring and </w:t>
      </w:r>
      <w:r w:rsidRPr="00365247">
        <w:t xml:space="preserve">professional development. The </w:t>
      </w:r>
      <w:r w:rsidR="007F47C4">
        <w:t xml:space="preserve">national </w:t>
      </w:r>
      <w:r w:rsidRPr="00365247">
        <w:t>survey gather</w:t>
      </w:r>
      <w:r>
        <w:t>ed</w:t>
      </w:r>
      <w:r w:rsidRPr="00365247">
        <w:t xml:space="preserve"> information about </w:t>
      </w:r>
      <w:r w:rsidR="00FD6323">
        <w:t>academic deans</w:t>
      </w:r>
      <w:r w:rsidRPr="00365247">
        <w:t>’ background</w:t>
      </w:r>
      <w:r>
        <w:t>s</w:t>
      </w:r>
      <w:r w:rsidRPr="00365247">
        <w:t xml:space="preserve">, </w:t>
      </w:r>
      <w:r w:rsidR="008414AC">
        <w:t xml:space="preserve">their </w:t>
      </w:r>
      <w:proofErr w:type="gramStart"/>
      <w:r w:rsidRPr="00365247">
        <w:t>experience</w:t>
      </w:r>
      <w:r>
        <w:t>s</w:t>
      </w:r>
      <w:proofErr w:type="gramEnd"/>
      <w:r w:rsidR="008414AC">
        <w:t xml:space="preserve"> and</w:t>
      </w:r>
      <w:r w:rsidRPr="00365247">
        <w:t xml:space="preserve"> current institution</w:t>
      </w:r>
      <w:r>
        <w:t>s</w:t>
      </w:r>
      <w:r w:rsidRPr="00365247">
        <w:t xml:space="preserve">, </w:t>
      </w:r>
      <w:r w:rsidR="008414AC">
        <w:t xml:space="preserve">as well as their </w:t>
      </w:r>
      <w:r w:rsidRPr="00365247">
        <w:t>critical friend engagement and specific topics of consultation.</w:t>
      </w:r>
      <w:r>
        <w:t xml:space="preserve"> </w:t>
      </w:r>
      <w:r w:rsidR="008928FF">
        <w:t>Q</w:t>
      </w:r>
      <w:r w:rsidRPr="00365247">
        <w:t>uestions about experience</w:t>
      </w:r>
      <w:r w:rsidR="008928FF">
        <w:t>s</w:t>
      </w:r>
      <w:r w:rsidRPr="00365247">
        <w:t xml:space="preserve"> and institution</w:t>
      </w:r>
      <w:r w:rsidR="008928FF">
        <w:t>s</w:t>
      </w:r>
      <w:r w:rsidRPr="00365247">
        <w:t xml:space="preserve"> were open-ended to </w:t>
      </w:r>
      <w:r w:rsidR="008414AC">
        <w:t xml:space="preserve">capture </w:t>
      </w:r>
      <w:r w:rsidRPr="00365247">
        <w:t xml:space="preserve">the widest variation. </w:t>
      </w:r>
    </w:p>
    <w:p w14:paraId="3A398B8F" w14:textId="4CE27BE6" w:rsidR="004B75F2" w:rsidRDefault="004B75F2" w:rsidP="008928FF">
      <w:pPr>
        <w:spacing w:line="480" w:lineRule="auto"/>
        <w:ind w:firstLine="720"/>
        <w:jc w:val="left"/>
      </w:pPr>
      <w:r>
        <w:t>Th</w:t>
      </w:r>
      <w:r w:rsidR="00FD6323">
        <w:t>e</w:t>
      </w:r>
      <w:r>
        <w:t xml:space="preserve"> </w:t>
      </w:r>
      <w:r w:rsidRPr="00365247">
        <w:t xml:space="preserve">core of the </w:t>
      </w:r>
      <w:r w:rsidRPr="00365247">
        <w:rPr>
          <w:i/>
          <w:iCs/>
        </w:rPr>
        <w:t>Academic Dean Critical Friends Survey</w:t>
      </w:r>
      <w:r>
        <w:rPr>
          <w:rFonts w:cs="Times New Roman"/>
          <w:szCs w:val="24"/>
        </w:rPr>
        <w:t xml:space="preserve"> </w:t>
      </w:r>
      <w:r w:rsidRPr="00365247">
        <w:t xml:space="preserve">included four sections: </w:t>
      </w:r>
      <w:proofErr w:type="gramStart"/>
      <w:r w:rsidRPr="00365247">
        <w:t>deans’</w:t>
      </w:r>
      <w:proofErr w:type="gramEnd"/>
      <w:r w:rsidR="006D2649">
        <w:t xml:space="preserve"> </w:t>
      </w:r>
      <w:r w:rsidRPr="00365247">
        <w:t xml:space="preserve">reported general use of critical friends; identification of critical friends; possible topics/challenges for which academic deans sought guidance from critical friends; and </w:t>
      </w:r>
      <w:r w:rsidR="004A5280">
        <w:t xml:space="preserve">the </w:t>
      </w:r>
      <w:r w:rsidRPr="00365247">
        <w:t>open-</w:t>
      </w:r>
      <w:r w:rsidRPr="00365247">
        <w:lastRenderedPageBreak/>
        <w:t>ended questions focused on the type of critical friends who helped the most, the nature of the help, and recommendations for engaging critical friends.</w:t>
      </w:r>
    </w:p>
    <w:p w14:paraId="53490DE4" w14:textId="6ECD900A" w:rsidR="004B75F2" w:rsidRDefault="004B75F2" w:rsidP="008928FF">
      <w:pPr>
        <w:keepNext/>
        <w:spacing w:line="480" w:lineRule="auto"/>
        <w:ind w:firstLine="720"/>
        <w:jc w:val="left"/>
      </w:pPr>
      <w:r>
        <w:t>The</w:t>
      </w:r>
      <w:r w:rsidRPr="00365247">
        <w:t xml:space="preserve"> </w:t>
      </w:r>
      <w:r w:rsidR="0000279C">
        <w:t xml:space="preserve">decided majority of the </w:t>
      </w:r>
      <w:r w:rsidRPr="00365247">
        <w:t xml:space="preserve">98 </w:t>
      </w:r>
      <w:r>
        <w:t>academic deans</w:t>
      </w:r>
      <w:r w:rsidRPr="00365247">
        <w:t xml:space="preserve"> </w:t>
      </w:r>
      <w:r>
        <w:t xml:space="preserve">who </w:t>
      </w:r>
      <w:r w:rsidRPr="00365247">
        <w:t>completed the survey</w:t>
      </w:r>
      <w:r>
        <w:t xml:space="preserve"> </w:t>
      </w:r>
      <w:r w:rsidRPr="0041387E">
        <w:t xml:space="preserve">indicated that they engage with critical friends both inside and outside their institutions. Demographically, they were </w:t>
      </w:r>
      <w:r>
        <w:t xml:space="preserve">more likely to be </w:t>
      </w:r>
      <w:r w:rsidR="001B3FFC">
        <w:t>W</w:t>
      </w:r>
      <w:r w:rsidRPr="0041387E">
        <w:t>hite, female, in their fifties, h</w:t>
      </w:r>
      <w:r>
        <w:t>o</w:t>
      </w:r>
      <w:r w:rsidRPr="0041387E">
        <w:t>ld doctoral degrees, and work</w:t>
      </w:r>
      <w:r>
        <w:t>ing</w:t>
      </w:r>
      <w:r w:rsidRPr="0041387E">
        <w:t xml:space="preserve"> at schools or colleges of arts and sciences at mid-sized, master’s-level public institutions within the United States. </w:t>
      </w:r>
      <w:r w:rsidR="008414AC">
        <w:t xml:space="preserve">On average, they had </w:t>
      </w:r>
      <w:r w:rsidRPr="0041387E">
        <w:t>been in their current positions for 4.7 years</w:t>
      </w:r>
      <w:r>
        <w:t>.</w:t>
      </w:r>
      <w:r w:rsidRPr="0041387E">
        <w:t xml:space="preserve"> </w:t>
      </w:r>
    </w:p>
    <w:p w14:paraId="2E66A23A" w14:textId="1177CBBE" w:rsidR="004B75F2" w:rsidRDefault="004B75F2" w:rsidP="008928FF">
      <w:pPr>
        <w:keepNext/>
        <w:spacing w:line="480" w:lineRule="auto"/>
        <w:ind w:firstLine="720"/>
        <w:jc w:val="left"/>
      </w:pPr>
      <w:r w:rsidRPr="0041387E">
        <w:t>The</w:t>
      </w:r>
      <w:r w:rsidR="008414AC">
        <w:t xml:space="preserve"> deans’</w:t>
      </w:r>
      <w:r w:rsidRPr="0041387E">
        <w:t xml:space="preserve"> top </w:t>
      </w:r>
      <w:r>
        <w:t xml:space="preserve">preferences </w:t>
      </w:r>
      <w:r w:rsidRPr="0041387E">
        <w:t xml:space="preserve">for critical friends were their assistant/associate deans, dean colleagues, provosts, and department chairs within their own institutions. They also identified their significant other as an important </w:t>
      </w:r>
      <w:proofErr w:type="gramStart"/>
      <w:r>
        <w:t>sounding</w:t>
      </w:r>
      <w:proofErr w:type="gramEnd"/>
      <w:r>
        <w:t xml:space="preserve"> board </w:t>
      </w:r>
      <w:r w:rsidRPr="0041387E">
        <w:t xml:space="preserve">outside their work environment. </w:t>
      </w:r>
      <w:r>
        <w:t xml:space="preserve">Their ratings of critical friends </w:t>
      </w:r>
      <w:r w:rsidRPr="0041387E">
        <w:t xml:space="preserve">indicated that the deans were comfortable enough to engage with some number of professionals within their own institutions who either reported to them, were in the same position, or to whom they reported. </w:t>
      </w:r>
      <w:r w:rsidR="008414AC">
        <w:t>On balance, t</w:t>
      </w:r>
      <w:r w:rsidRPr="0041387E">
        <w:t>hey seemed to trust their colleagues at their workplace, possibly because the</w:t>
      </w:r>
      <w:r>
        <w:t xml:space="preserve">y </w:t>
      </w:r>
      <w:r w:rsidRPr="0041387E">
        <w:t xml:space="preserve">were </w:t>
      </w:r>
      <w:r>
        <w:t xml:space="preserve">likewise </w:t>
      </w:r>
      <w:r w:rsidRPr="0041387E">
        <w:t>familiar with the institutional culture</w:t>
      </w:r>
      <w:r>
        <w:t xml:space="preserve"> and </w:t>
      </w:r>
      <w:r w:rsidR="008414AC">
        <w:t>were well known</w:t>
      </w:r>
      <w:r w:rsidR="00122AD5">
        <w:t xml:space="preserve"> personally</w:t>
      </w:r>
      <w:r w:rsidR="008414AC">
        <w:t xml:space="preserve">. </w:t>
      </w:r>
      <w:r w:rsidRPr="0041387E">
        <w:t xml:space="preserve">These colleagues were </w:t>
      </w:r>
      <w:r w:rsidRPr="009A3596">
        <w:t xml:space="preserve">also </w:t>
      </w:r>
      <w:r w:rsidRPr="0041387E">
        <w:t>convenient</w:t>
      </w:r>
      <w:r w:rsidR="008414AC">
        <w:t>ly</w:t>
      </w:r>
      <w:r w:rsidR="008928FF">
        <w:t xml:space="preserve"> </w:t>
      </w:r>
      <w:r w:rsidRPr="0041387E">
        <w:t>access</w:t>
      </w:r>
      <w:r w:rsidR="008414AC">
        <w:t>ed</w:t>
      </w:r>
      <w:r w:rsidRPr="0041387E">
        <w:t>. The</w:t>
      </w:r>
      <w:r>
        <w:t xml:space="preserve"> high rating of the</w:t>
      </w:r>
      <w:r w:rsidRPr="0041387E">
        <w:t xml:space="preserve">ir significant others also </w:t>
      </w:r>
      <w:r>
        <w:t xml:space="preserve">likely occurred </w:t>
      </w:r>
      <w:r w:rsidRPr="0041387E">
        <w:t xml:space="preserve">because of proximity, trustworthiness, comfort, </w:t>
      </w:r>
      <w:r>
        <w:t xml:space="preserve">and </w:t>
      </w:r>
      <w:r w:rsidRPr="0041387E">
        <w:t>convenience</w:t>
      </w:r>
      <w:r>
        <w:t>.</w:t>
      </w:r>
    </w:p>
    <w:p w14:paraId="47D26B48" w14:textId="6A98C298" w:rsidR="004B75F2" w:rsidRPr="0041387E" w:rsidRDefault="008414AC" w:rsidP="008928FF">
      <w:pPr>
        <w:keepNext/>
        <w:spacing w:line="480" w:lineRule="auto"/>
        <w:ind w:firstLine="720"/>
        <w:jc w:val="left"/>
      </w:pPr>
      <w:r>
        <w:t>M</w:t>
      </w:r>
      <w:r w:rsidR="004B75F2" w:rsidRPr="0041387E">
        <w:t xml:space="preserve">ore specifically, those who already had served as deans, female deans, and deans at public institutions also regarded professionals at other institutions as important critical friends. </w:t>
      </w:r>
      <w:r w:rsidR="001B3FFC">
        <w:t>W</w:t>
      </w:r>
      <w:r w:rsidR="005E4AF3">
        <w:t xml:space="preserve">hite deans, deans with prior experience, and deans in institutions with more schools/colleges were considerably more likely to regularly engage critical friends. </w:t>
      </w:r>
      <w:r w:rsidR="004B75F2" w:rsidRPr="0041387E">
        <w:t xml:space="preserve">Open-ended comments reinforced the notion that critical friends outside the institution, especially former colleagues, </w:t>
      </w:r>
      <w:r w:rsidR="005413B5">
        <w:t xml:space="preserve">selected </w:t>
      </w:r>
      <w:r w:rsidR="004B75F2" w:rsidRPr="0041387E">
        <w:t xml:space="preserve">former mentors, significant others, or friends, were the individuals who could provide </w:t>
      </w:r>
      <w:r w:rsidR="004B75F2" w:rsidRPr="0041387E">
        <w:lastRenderedPageBreak/>
        <w:t>them with unbiased, direct, and honest guidance</w:t>
      </w:r>
      <w:r w:rsidR="004B75F2">
        <w:t>,</w:t>
      </w:r>
      <w:r w:rsidR="004B75F2" w:rsidRPr="0041387E">
        <w:t xml:space="preserve"> because they knew </w:t>
      </w:r>
      <w:r w:rsidR="004D7708">
        <w:t xml:space="preserve">of the deans’ </w:t>
      </w:r>
      <w:r w:rsidR="004B75F2" w:rsidRPr="0041387E">
        <w:t>strengths and weaknesses. Many mentioned the importance of having dean colleagues in general as critical friends</w:t>
      </w:r>
      <w:r w:rsidR="004D7708">
        <w:t>,</w:t>
      </w:r>
      <w:r w:rsidR="004B75F2" w:rsidRPr="0041387E">
        <w:t xml:space="preserve"> because they understood firsthand the challenges of the job. </w:t>
      </w:r>
    </w:p>
    <w:p w14:paraId="29A389EC" w14:textId="546C82F1" w:rsidR="004B75F2" w:rsidRDefault="004B75F2" w:rsidP="008928FF">
      <w:pPr>
        <w:keepNext/>
        <w:spacing w:line="480" w:lineRule="auto"/>
        <w:ind w:firstLine="720"/>
        <w:jc w:val="left"/>
        <w:rPr>
          <w:iCs/>
        </w:rPr>
      </w:pPr>
      <w:r w:rsidRPr="0041387E">
        <w:t xml:space="preserve">Personnel issues </w:t>
      </w:r>
      <w:r>
        <w:t xml:space="preserve">qualified as </w:t>
      </w:r>
      <w:r w:rsidRPr="0041387E">
        <w:t xml:space="preserve">the number one topic of discussion with critical friends. Working effectively with contentious colleagues, resolving conflicts, and motivating faculty who are resistant to change were </w:t>
      </w:r>
      <w:r w:rsidR="004D7708">
        <w:t xml:space="preserve">likewise </w:t>
      </w:r>
      <w:r w:rsidRPr="0041387E">
        <w:t>selected as top issues.</w:t>
      </w:r>
      <w:r w:rsidR="002968D2">
        <w:t xml:space="preserve"> T</w:t>
      </w:r>
      <w:r w:rsidR="002968D2" w:rsidRPr="009A3596">
        <w:t>he opportunity to</w:t>
      </w:r>
      <w:r w:rsidR="002968D2">
        <w:t xml:space="preserve"> s</w:t>
      </w:r>
      <w:r w:rsidR="002968D2" w:rsidRPr="009A3596">
        <w:t>har</w:t>
      </w:r>
      <w:r w:rsidR="002968D2">
        <w:t xml:space="preserve">e </w:t>
      </w:r>
      <w:r w:rsidR="002968D2" w:rsidRPr="009A3596">
        <w:t>feelings about their job</w:t>
      </w:r>
      <w:r w:rsidR="002968D2" w:rsidRPr="00FD1D41">
        <w:t xml:space="preserve"> </w:t>
      </w:r>
      <w:r w:rsidR="002968D2">
        <w:t xml:space="preserve">represented </w:t>
      </w:r>
      <w:r w:rsidR="004D7708">
        <w:t xml:space="preserve">yet </w:t>
      </w:r>
      <w:r w:rsidR="002968D2">
        <w:t xml:space="preserve">another key topic of discussion, and this </w:t>
      </w:r>
      <w:r w:rsidR="002968D2" w:rsidRPr="0041387E">
        <w:t>ability to turn to their critical friends to express their frustrations a</w:t>
      </w:r>
      <w:r w:rsidR="002968D2">
        <w:t>rose</w:t>
      </w:r>
      <w:r w:rsidR="002968D2" w:rsidRPr="0041387E">
        <w:t xml:space="preserve"> as a recurring theme in the open-ended responses</w:t>
      </w:r>
      <w:r w:rsidR="002968D2">
        <w:t xml:space="preserve"> as well</w:t>
      </w:r>
      <w:r w:rsidR="002968D2" w:rsidRPr="0041387E">
        <w:t>.</w:t>
      </w:r>
      <w:r w:rsidR="002968D2">
        <w:t xml:space="preserve"> </w:t>
      </w:r>
      <w:r w:rsidR="002968D2" w:rsidRPr="0041387E">
        <w:t xml:space="preserve">Recommendations that came from the open-ended responses for pursuing critical friends emphasized the significance of </w:t>
      </w:r>
      <w:r w:rsidR="002968D2" w:rsidRPr="0041387E">
        <w:rPr>
          <w:iCs/>
        </w:rPr>
        <w:t>trust and shared values</w:t>
      </w:r>
      <w:r w:rsidR="004D7708">
        <w:rPr>
          <w:iCs/>
        </w:rPr>
        <w:t>,</w:t>
      </w:r>
      <w:r w:rsidR="002968D2" w:rsidRPr="0041387E">
        <w:rPr>
          <w:iCs/>
        </w:rPr>
        <w:t xml:space="preserve"> so that academic deans </w:t>
      </w:r>
      <w:r w:rsidR="004D7708">
        <w:rPr>
          <w:iCs/>
        </w:rPr>
        <w:t xml:space="preserve">do not fear </w:t>
      </w:r>
      <w:r w:rsidR="002968D2" w:rsidRPr="0041387E">
        <w:rPr>
          <w:iCs/>
        </w:rPr>
        <w:t>expos</w:t>
      </w:r>
      <w:r w:rsidR="004D7708">
        <w:rPr>
          <w:iCs/>
        </w:rPr>
        <w:t>ing</w:t>
      </w:r>
      <w:r w:rsidR="002968D2" w:rsidRPr="0041387E">
        <w:rPr>
          <w:iCs/>
        </w:rPr>
        <w:t xml:space="preserve"> their </w:t>
      </w:r>
      <w:r w:rsidR="002968D2">
        <w:rPr>
          <w:iCs/>
        </w:rPr>
        <w:t>shortcomings or insecurities.</w:t>
      </w:r>
    </w:p>
    <w:p w14:paraId="425386AC" w14:textId="719A8370" w:rsidR="002968D2" w:rsidRDefault="002968D2" w:rsidP="008928FF">
      <w:pPr>
        <w:keepNext/>
        <w:spacing w:line="480" w:lineRule="auto"/>
        <w:ind w:firstLine="720"/>
        <w:jc w:val="left"/>
      </w:pPr>
      <w:r>
        <w:t>T</w:t>
      </w:r>
      <w:r w:rsidRPr="0041387E">
        <w:t>he engagement of critical friends appears to have merit as a vital option</w:t>
      </w:r>
      <w:r>
        <w:t xml:space="preserve"> </w:t>
      </w:r>
      <w:r w:rsidRPr="0041387E">
        <w:t xml:space="preserve">for addressing challenges that are both </w:t>
      </w:r>
      <w:r w:rsidRPr="009A3596">
        <w:t>chronic</w:t>
      </w:r>
      <w:r w:rsidRPr="005A20AA">
        <w:t xml:space="preserve"> </w:t>
      </w:r>
      <w:r>
        <w:t xml:space="preserve">and </w:t>
      </w:r>
      <w:r w:rsidRPr="0041387E">
        <w:t>sporadic</w:t>
      </w:r>
      <w:r>
        <w:t xml:space="preserve">, yet acute and time sensitive. </w:t>
      </w:r>
      <w:r w:rsidRPr="0041387E">
        <w:t>Further exploration and understanding of the meaning that academic deans ascribe to the efficacy of critical friends would be a</w:t>
      </w:r>
      <w:r>
        <w:t xml:space="preserve"> valuable </w:t>
      </w:r>
      <w:r w:rsidRPr="0041387E">
        <w:t xml:space="preserve">next step </w:t>
      </w:r>
      <w:r>
        <w:t xml:space="preserve">in </w:t>
      </w:r>
      <w:r w:rsidRPr="0041387E">
        <w:t xml:space="preserve">this </w:t>
      </w:r>
      <w:r>
        <w:t xml:space="preserve">line of </w:t>
      </w:r>
      <w:r w:rsidRPr="0041387E">
        <w:t>research to identify specifically how they have involved critical friends.</w:t>
      </w:r>
    </w:p>
    <w:p w14:paraId="67AFB713" w14:textId="5C557251" w:rsidR="00FB731A" w:rsidRPr="00FB731A" w:rsidRDefault="00FB731A" w:rsidP="008928FF">
      <w:pPr>
        <w:spacing w:line="480" w:lineRule="auto"/>
        <w:ind w:left="720" w:hanging="720"/>
        <w:contextualSpacing/>
        <w:rPr>
          <w:b/>
          <w:bCs/>
        </w:rPr>
      </w:pPr>
      <w:r>
        <w:rPr>
          <w:b/>
          <w:bCs/>
        </w:rPr>
        <w:t>References</w:t>
      </w:r>
    </w:p>
    <w:p w14:paraId="151402BD" w14:textId="77777777" w:rsidR="00FB731A" w:rsidRDefault="00FB731A" w:rsidP="008928FF">
      <w:pPr>
        <w:spacing w:line="480" w:lineRule="auto"/>
        <w:ind w:left="720" w:hanging="720"/>
        <w:contextualSpacing/>
        <w:jc w:val="left"/>
        <w:rPr>
          <w:shd w:val="clear" w:color="auto" w:fill="FFFFFF"/>
        </w:rPr>
      </w:pPr>
      <w:r w:rsidRPr="00365247">
        <w:rPr>
          <w:shd w:val="clear" w:color="auto" w:fill="FFFFFF"/>
        </w:rPr>
        <w:t>Costa, A., &amp; Kallick, B. (1993). Through the lens of a critical friend. </w:t>
      </w:r>
      <w:r w:rsidRPr="00365247">
        <w:rPr>
          <w:i/>
          <w:iCs/>
          <w:shd w:val="clear" w:color="auto" w:fill="FFFFFF"/>
        </w:rPr>
        <w:t>Educational Leadership</w:t>
      </w:r>
      <w:r w:rsidRPr="00365247">
        <w:rPr>
          <w:shd w:val="clear" w:color="auto" w:fill="FFFFFF"/>
        </w:rPr>
        <w:t> </w:t>
      </w:r>
      <w:r w:rsidRPr="00365247">
        <w:rPr>
          <w:i/>
          <w:iCs/>
          <w:shd w:val="clear" w:color="auto" w:fill="FFFFFF"/>
        </w:rPr>
        <w:t>51</w:t>
      </w:r>
      <w:r w:rsidRPr="00365247">
        <w:rPr>
          <w:shd w:val="clear" w:color="auto" w:fill="FFFFFF"/>
        </w:rPr>
        <w:t>(2), 49-51.</w:t>
      </w:r>
    </w:p>
    <w:p w14:paraId="1B347027" w14:textId="77777777" w:rsidR="00FB731A" w:rsidRDefault="00FB731A" w:rsidP="008928FF">
      <w:pPr>
        <w:spacing w:line="480" w:lineRule="auto"/>
        <w:ind w:left="720" w:hanging="720"/>
        <w:contextualSpacing/>
        <w:jc w:val="left"/>
        <w:rPr>
          <w:shd w:val="clear" w:color="auto" w:fill="FFFFFF"/>
        </w:rPr>
      </w:pPr>
      <w:r w:rsidRPr="00365247">
        <w:t xml:space="preserve">Hope, J. (Ed.). (2014). Consider professional development needs for yourself, new administrators. </w:t>
      </w:r>
      <w:r w:rsidRPr="00365247">
        <w:rPr>
          <w:i/>
          <w:iCs/>
        </w:rPr>
        <w:t>Dean &amp; Provost, 16</w:t>
      </w:r>
      <w:r w:rsidRPr="00365247">
        <w:t xml:space="preserve">(1), 1-4. </w:t>
      </w:r>
      <w:hyperlink r:id="rId6" w:history="1">
        <w:r w:rsidRPr="00365247">
          <w:t>https://doi.org/10.1002/dap.20081</w:t>
        </w:r>
      </w:hyperlink>
    </w:p>
    <w:p w14:paraId="1CD6B149" w14:textId="77777777" w:rsidR="00FB731A" w:rsidRDefault="00FB731A" w:rsidP="008928FF">
      <w:pPr>
        <w:spacing w:line="480" w:lineRule="auto"/>
        <w:ind w:left="720" w:hanging="720"/>
        <w:contextualSpacing/>
        <w:jc w:val="left"/>
        <w:rPr>
          <w:rStyle w:val="Hyperlink"/>
          <w:color w:val="auto"/>
          <w:u w:val="none"/>
          <w:shd w:val="clear" w:color="auto" w:fill="FFFFFF"/>
        </w:rPr>
      </w:pPr>
      <w:r w:rsidRPr="00365247">
        <w:rPr>
          <w:highlight w:val="white"/>
        </w:rPr>
        <w:lastRenderedPageBreak/>
        <w:t xml:space="preserve">Johnson, K. E., &amp; Boyd, M.K. (2019, October 2). Developing deans and chairs as leaders. </w:t>
      </w:r>
      <w:r w:rsidRPr="00365247">
        <w:rPr>
          <w:i/>
          <w:highlight w:val="white"/>
        </w:rPr>
        <w:t xml:space="preserve">American Council on Education. </w:t>
      </w:r>
      <w:hyperlink r:id="rId7" w:history="1">
        <w:r w:rsidRPr="00365247">
          <w:rPr>
            <w:rStyle w:val="Hyperlink"/>
            <w:highlight w:val="white"/>
          </w:rPr>
          <w:t>https://www.higheredtoday.org/2019/10/02/developing-deans-chairs-leaders/</w:t>
        </w:r>
      </w:hyperlink>
    </w:p>
    <w:p w14:paraId="4E977593" w14:textId="77777777" w:rsidR="008928FF" w:rsidRDefault="00FB731A" w:rsidP="008928FF">
      <w:pPr>
        <w:spacing w:line="480" w:lineRule="auto"/>
        <w:ind w:left="720" w:hanging="720"/>
        <w:contextualSpacing/>
        <w:jc w:val="left"/>
      </w:pPr>
      <w:r w:rsidRPr="00365247">
        <w:t xml:space="preserve">Loughran, J., &amp; Brubaker, N. (2015). Working with a critical friend: A self-study of executive coaching. </w:t>
      </w:r>
      <w:r w:rsidRPr="00365247">
        <w:rPr>
          <w:i/>
          <w:iCs/>
        </w:rPr>
        <w:t>Journal of Self-Study of Teacher Education Practices, 11</w:t>
      </w:r>
      <w:r w:rsidRPr="00365247">
        <w:t xml:space="preserve">(3), 255-271. </w:t>
      </w:r>
      <w:hyperlink r:id="rId8" w:tgtFrame="_blank" w:tooltip="http://dx.doi.org/10.1080/17425964.2015.1078786" w:history="1">
        <w:r w:rsidRPr="00365247">
          <w:rPr>
            <w:rStyle w:val="Hyperlink"/>
            <w:bdr w:val="none" w:sz="0" w:space="0" w:color="auto" w:frame="1"/>
          </w:rPr>
          <w:t>http://dx.doi.org/10.1080/17425964.2015.1078786</w:t>
        </w:r>
      </w:hyperlink>
      <w:r w:rsidRPr="00365247">
        <w:t xml:space="preserve">  </w:t>
      </w:r>
    </w:p>
    <w:p w14:paraId="6E1349AD" w14:textId="01C1D2C3" w:rsidR="008928FF" w:rsidRDefault="008928FF" w:rsidP="008928FF">
      <w:pPr>
        <w:spacing w:line="480" w:lineRule="auto"/>
        <w:ind w:left="720" w:hanging="720"/>
        <w:contextualSpacing/>
        <w:jc w:val="left"/>
      </w:pPr>
      <w:r w:rsidRPr="00365247">
        <w:t xml:space="preserve">Ontiveros, J., &amp; Cogan, M. (n.d.). </w:t>
      </w:r>
      <w:r w:rsidRPr="00365247">
        <w:rPr>
          <w:i/>
          <w:iCs/>
        </w:rPr>
        <w:t>It's a win-win: Dean development drives institutional outcomes.</w:t>
      </w:r>
      <w:r w:rsidRPr="00365247">
        <w:t xml:space="preserve"> Huron.</w:t>
      </w:r>
      <w:r>
        <w:t xml:space="preserve"> </w:t>
      </w:r>
      <w:hyperlink r:id="rId9" w:history="1">
        <w:r w:rsidRPr="008928FF">
          <w:rPr>
            <w:rStyle w:val="Hyperlink"/>
          </w:rPr>
          <w:t>https://www.huronconsultinggroup.com/insights/dean-development-drives-institutional-outcomes</w:t>
        </w:r>
      </w:hyperlink>
      <w:r w:rsidRPr="00365247">
        <w:t xml:space="preserve"> </w:t>
      </w:r>
    </w:p>
    <w:p w14:paraId="2BE8CFAD" w14:textId="77777777" w:rsidR="008928FF" w:rsidRDefault="008928FF" w:rsidP="008928FF">
      <w:pPr>
        <w:spacing w:line="480" w:lineRule="auto"/>
        <w:ind w:left="720" w:hanging="720"/>
        <w:contextualSpacing/>
        <w:jc w:val="left"/>
      </w:pPr>
      <w:r w:rsidRPr="00365247">
        <w:t xml:space="preserve">Raines, S. C., &amp; Alberg, M. S. (2003). The role of professional development in preparing academic leaders. </w:t>
      </w:r>
      <w:r w:rsidRPr="00365247">
        <w:rPr>
          <w:i/>
          <w:iCs/>
        </w:rPr>
        <w:t>New Directions for Higher Education, 124</w:t>
      </w:r>
      <w:r w:rsidRPr="00365247">
        <w:t xml:space="preserve">, 33-39. </w:t>
      </w:r>
      <w:hyperlink r:id="rId10" w:history="1">
        <w:r w:rsidRPr="00365247">
          <w:t>https://doi.org/10.1002/he.128</w:t>
        </w:r>
      </w:hyperlink>
      <w:r w:rsidRPr="00365247">
        <w:t xml:space="preserve"> </w:t>
      </w:r>
    </w:p>
    <w:p w14:paraId="32DF51A9" w14:textId="71F3AAB5" w:rsidR="008928FF" w:rsidRPr="008928FF" w:rsidRDefault="008928FF" w:rsidP="008928FF">
      <w:pPr>
        <w:spacing w:line="480" w:lineRule="auto"/>
        <w:ind w:left="720" w:hanging="720"/>
        <w:contextualSpacing/>
        <w:jc w:val="left"/>
      </w:pPr>
      <w:r w:rsidRPr="00365247">
        <w:rPr>
          <w:highlight w:val="white"/>
        </w:rPr>
        <w:t xml:space="preserve">Wall, K. J. (2015). </w:t>
      </w:r>
      <w:r w:rsidRPr="00365247">
        <w:rPr>
          <w:i/>
          <w:highlight w:val="white"/>
        </w:rPr>
        <w:t xml:space="preserve">Administrative development for academic deans in the California State University system. </w:t>
      </w:r>
      <w:r w:rsidRPr="00365247">
        <w:rPr>
          <w:highlight w:val="white"/>
        </w:rPr>
        <w:t xml:space="preserve">[Doctoral dissertation, California State University, San Bernardino]. </w:t>
      </w:r>
      <w:hyperlink r:id="rId11" w:history="1">
        <w:r w:rsidRPr="00365247">
          <w:rPr>
            <w:rStyle w:val="Hyperlink"/>
            <w:highlight w:val="white"/>
          </w:rPr>
          <w:t>https://scholarworks.lib.csusb.edu/cgi/viewcontent.cgi?article=1205&amp;context=etd</w:t>
        </w:r>
      </w:hyperlink>
    </w:p>
    <w:p w14:paraId="361D3D37" w14:textId="77777777" w:rsidR="008928FF" w:rsidRPr="00365247" w:rsidRDefault="008928FF" w:rsidP="008928FF">
      <w:pPr>
        <w:spacing w:line="480" w:lineRule="auto"/>
        <w:ind w:left="720" w:hanging="720"/>
        <w:contextualSpacing/>
        <w:jc w:val="left"/>
      </w:pPr>
    </w:p>
    <w:p w14:paraId="6B3AFCB2" w14:textId="77777777" w:rsidR="008928FF" w:rsidRPr="00365247" w:rsidRDefault="008928FF" w:rsidP="008928FF">
      <w:pPr>
        <w:spacing w:line="480" w:lineRule="auto"/>
        <w:ind w:left="720" w:hanging="720"/>
        <w:contextualSpacing/>
        <w:jc w:val="left"/>
      </w:pPr>
    </w:p>
    <w:p w14:paraId="0E38746C" w14:textId="77777777" w:rsidR="008928FF" w:rsidRPr="00FB731A" w:rsidRDefault="008928FF" w:rsidP="008928FF">
      <w:pPr>
        <w:spacing w:line="480" w:lineRule="auto"/>
        <w:ind w:left="720" w:hanging="720"/>
        <w:contextualSpacing/>
        <w:jc w:val="left"/>
        <w:rPr>
          <w:shd w:val="clear" w:color="auto" w:fill="FFFFFF"/>
        </w:rPr>
      </w:pPr>
    </w:p>
    <w:p w14:paraId="5FBC28FB" w14:textId="77777777" w:rsidR="00FB731A" w:rsidRPr="00365247" w:rsidRDefault="00FB731A" w:rsidP="008928FF">
      <w:pPr>
        <w:spacing w:line="480" w:lineRule="auto"/>
        <w:ind w:left="720" w:hanging="720"/>
        <w:contextualSpacing/>
        <w:jc w:val="left"/>
      </w:pPr>
    </w:p>
    <w:p w14:paraId="1CE6F29A" w14:textId="77777777" w:rsidR="00FB731A" w:rsidRPr="00365247" w:rsidRDefault="00FB731A" w:rsidP="008928FF">
      <w:pPr>
        <w:spacing w:line="480" w:lineRule="auto"/>
        <w:ind w:left="720" w:hanging="720"/>
        <w:contextualSpacing/>
        <w:jc w:val="left"/>
      </w:pPr>
    </w:p>
    <w:p w14:paraId="5DD6441C" w14:textId="77777777" w:rsidR="00FB731A" w:rsidRPr="0041387E" w:rsidRDefault="00FB731A" w:rsidP="008928FF">
      <w:pPr>
        <w:keepNext/>
        <w:spacing w:line="480" w:lineRule="auto"/>
        <w:ind w:firstLine="720"/>
        <w:jc w:val="left"/>
      </w:pPr>
    </w:p>
    <w:p w14:paraId="1C2FC7F7" w14:textId="292E6CB7" w:rsidR="004B75F2" w:rsidRPr="00DE42EF" w:rsidRDefault="004B75F2" w:rsidP="008928FF">
      <w:pPr>
        <w:pStyle w:val="NormalWeb"/>
        <w:spacing w:before="0" w:beforeAutospacing="0" w:after="0" w:afterAutospacing="0" w:line="480" w:lineRule="auto"/>
        <w:ind w:firstLine="720"/>
        <w:rPr>
          <w:rFonts w:eastAsiaTheme="minorEastAsia"/>
          <w:b/>
          <w:lang w:eastAsia="zh-CN"/>
        </w:rPr>
      </w:pPr>
    </w:p>
    <w:p w14:paraId="38B69077" w14:textId="77777777" w:rsidR="00C3229C" w:rsidRDefault="00C3229C" w:rsidP="008928FF">
      <w:pPr>
        <w:jc w:val="left"/>
        <w:rPr>
          <w:rFonts w:cs="Times New Roman"/>
          <w:b/>
          <w:bCs/>
          <w:szCs w:val="24"/>
        </w:rPr>
      </w:pPr>
    </w:p>
    <w:p w14:paraId="4ED0F40E" w14:textId="77777777" w:rsidR="00D56488" w:rsidRDefault="00D56488" w:rsidP="008928FF">
      <w:pPr>
        <w:jc w:val="left"/>
      </w:pPr>
    </w:p>
    <w:sectPr w:rsidR="00D5648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6FBF3" w14:textId="77777777" w:rsidR="00CB570C" w:rsidRDefault="00CB570C" w:rsidP="00B209E7">
      <w:r>
        <w:separator/>
      </w:r>
    </w:p>
  </w:endnote>
  <w:endnote w:type="continuationSeparator" w:id="0">
    <w:p w14:paraId="709FE4F2" w14:textId="77777777" w:rsidR="00CB570C" w:rsidRDefault="00CB570C" w:rsidP="00B2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366706"/>
      <w:docPartObj>
        <w:docPartGallery w:val="Page Numbers (Bottom of Page)"/>
        <w:docPartUnique/>
      </w:docPartObj>
    </w:sdtPr>
    <w:sdtEndPr>
      <w:rPr>
        <w:noProof/>
      </w:rPr>
    </w:sdtEndPr>
    <w:sdtContent>
      <w:p w14:paraId="45F9F5A0" w14:textId="32DC125D" w:rsidR="00B209E7" w:rsidRDefault="00B209E7">
        <w:pPr>
          <w:pStyle w:val="Footer"/>
        </w:pPr>
        <w:r>
          <w:fldChar w:fldCharType="begin"/>
        </w:r>
        <w:r>
          <w:instrText xml:space="preserve"> PAGE   \* MERGEFORMAT </w:instrText>
        </w:r>
        <w:r>
          <w:fldChar w:fldCharType="separate"/>
        </w:r>
        <w:r>
          <w:rPr>
            <w:noProof/>
          </w:rPr>
          <w:t>2</w:t>
        </w:r>
        <w:r>
          <w:rPr>
            <w:noProof/>
          </w:rPr>
          <w:fldChar w:fldCharType="end"/>
        </w:r>
      </w:p>
    </w:sdtContent>
  </w:sdt>
  <w:p w14:paraId="77AE69D4" w14:textId="77777777" w:rsidR="00B209E7" w:rsidRDefault="00B20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A640" w14:textId="77777777" w:rsidR="00CB570C" w:rsidRDefault="00CB570C" w:rsidP="00B209E7">
      <w:r>
        <w:separator/>
      </w:r>
    </w:p>
  </w:footnote>
  <w:footnote w:type="continuationSeparator" w:id="0">
    <w:p w14:paraId="5A41479E" w14:textId="77777777" w:rsidR="00CB570C" w:rsidRDefault="00CB570C" w:rsidP="00B20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9C"/>
    <w:rsid w:val="0000279C"/>
    <w:rsid w:val="00091649"/>
    <w:rsid w:val="00122AD5"/>
    <w:rsid w:val="001A42B4"/>
    <w:rsid w:val="001B3FFC"/>
    <w:rsid w:val="002968D2"/>
    <w:rsid w:val="002B7430"/>
    <w:rsid w:val="00375829"/>
    <w:rsid w:val="003F76B1"/>
    <w:rsid w:val="004860BA"/>
    <w:rsid w:val="004A5280"/>
    <w:rsid w:val="004B75F2"/>
    <w:rsid w:val="004D7708"/>
    <w:rsid w:val="005413B5"/>
    <w:rsid w:val="005B4CD5"/>
    <w:rsid w:val="005E4AF3"/>
    <w:rsid w:val="006D2649"/>
    <w:rsid w:val="007265BC"/>
    <w:rsid w:val="007C1F88"/>
    <w:rsid w:val="007F47C4"/>
    <w:rsid w:val="008414AC"/>
    <w:rsid w:val="008928FF"/>
    <w:rsid w:val="00AB79FB"/>
    <w:rsid w:val="00B209E7"/>
    <w:rsid w:val="00C3229C"/>
    <w:rsid w:val="00C674FE"/>
    <w:rsid w:val="00CB570C"/>
    <w:rsid w:val="00D56488"/>
    <w:rsid w:val="00D80AD7"/>
    <w:rsid w:val="00DD1C13"/>
    <w:rsid w:val="00DE1D09"/>
    <w:rsid w:val="00E97C9F"/>
    <w:rsid w:val="00F24CD2"/>
    <w:rsid w:val="00F751CC"/>
    <w:rsid w:val="00FB731A"/>
    <w:rsid w:val="00FD2FD3"/>
    <w:rsid w:val="00FD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4E14"/>
  <w15:chartTrackingRefBased/>
  <w15:docId w15:val="{D9A628FF-E74E-4FEE-AB75-8314DE58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29C"/>
    <w:pPr>
      <w:spacing w:after="0" w:line="240" w:lineRule="auto"/>
      <w:jc w:val="center"/>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75F2"/>
    <w:pPr>
      <w:spacing w:before="100" w:beforeAutospacing="1" w:after="100" w:afterAutospacing="1"/>
      <w:jc w:val="left"/>
    </w:pPr>
    <w:rPr>
      <w:rFonts w:eastAsia="Times New Roman" w:cs="Times New Roman"/>
      <w:szCs w:val="24"/>
    </w:rPr>
  </w:style>
  <w:style w:type="character" w:styleId="Hyperlink">
    <w:name w:val="Hyperlink"/>
    <w:basedOn w:val="DefaultParagraphFont"/>
    <w:uiPriority w:val="99"/>
    <w:unhideWhenUsed/>
    <w:rsid w:val="00FB731A"/>
    <w:rPr>
      <w:color w:val="0563C1" w:themeColor="hyperlink"/>
      <w:u w:val="single"/>
    </w:rPr>
  </w:style>
  <w:style w:type="paragraph" w:styleId="Revision">
    <w:name w:val="Revision"/>
    <w:hidden/>
    <w:uiPriority w:val="99"/>
    <w:semiHidden/>
    <w:rsid w:val="008414AC"/>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8414AC"/>
    <w:rPr>
      <w:sz w:val="16"/>
      <w:szCs w:val="16"/>
    </w:rPr>
  </w:style>
  <w:style w:type="paragraph" w:styleId="CommentText">
    <w:name w:val="annotation text"/>
    <w:basedOn w:val="Normal"/>
    <w:link w:val="CommentTextChar"/>
    <w:uiPriority w:val="99"/>
    <w:unhideWhenUsed/>
    <w:rsid w:val="008414AC"/>
    <w:rPr>
      <w:sz w:val="20"/>
      <w:szCs w:val="20"/>
    </w:rPr>
  </w:style>
  <w:style w:type="character" w:customStyle="1" w:styleId="CommentTextChar">
    <w:name w:val="Comment Text Char"/>
    <w:basedOn w:val="DefaultParagraphFont"/>
    <w:link w:val="CommentText"/>
    <w:uiPriority w:val="99"/>
    <w:rsid w:val="008414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414AC"/>
    <w:rPr>
      <w:b/>
      <w:bCs/>
    </w:rPr>
  </w:style>
  <w:style w:type="character" w:customStyle="1" w:styleId="CommentSubjectChar">
    <w:name w:val="Comment Subject Char"/>
    <w:basedOn w:val="CommentTextChar"/>
    <w:link w:val="CommentSubject"/>
    <w:uiPriority w:val="99"/>
    <w:semiHidden/>
    <w:rsid w:val="008414AC"/>
    <w:rPr>
      <w:rFonts w:ascii="Times New Roman" w:hAnsi="Times New Roman"/>
      <w:b/>
      <w:bCs/>
      <w:sz w:val="20"/>
      <w:szCs w:val="20"/>
    </w:rPr>
  </w:style>
  <w:style w:type="character" w:styleId="UnresolvedMention">
    <w:name w:val="Unresolved Mention"/>
    <w:basedOn w:val="DefaultParagraphFont"/>
    <w:uiPriority w:val="99"/>
    <w:semiHidden/>
    <w:unhideWhenUsed/>
    <w:rsid w:val="008928FF"/>
    <w:rPr>
      <w:color w:val="605E5C"/>
      <w:shd w:val="clear" w:color="auto" w:fill="E1DFDD"/>
    </w:rPr>
  </w:style>
  <w:style w:type="paragraph" w:styleId="Header">
    <w:name w:val="header"/>
    <w:basedOn w:val="Normal"/>
    <w:link w:val="HeaderChar"/>
    <w:uiPriority w:val="99"/>
    <w:unhideWhenUsed/>
    <w:rsid w:val="00B209E7"/>
    <w:pPr>
      <w:tabs>
        <w:tab w:val="center" w:pos="4680"/>
        <w:tab w:val="right" w:pos="9360"/>
      </w:tabs>
    </w:pPr>
  </w:style>
  <w:style w:type="character" w:customStyle="1" w:styleId="HeaderChar">
    <w:name w:val="Header Char"/>
    <w:basedOn w:val="DefaultParagraphFont"/>
    <w:link w:val="Header"/>
    <w:uiPriority w:val="99"/>
    <w:rsid w:val="00B209E7"/>
    <w:rPr>
      <w:rFonts w:ascii="Times New Roman" w:hAnsi="Times New Roman"/>
      <w:sz w:val="24"/>
    </w:rPr>
  </w:style>
  <w:style w:type="paragraph" w:styleId="Footer">
    <w:name w:val="footer"/>
    <w:basedOn w:val="Normal"/>
    <w:link w:val="FooterChar"/>
    <w:uiPriority w:val="99"/>
    <w:unhideWhenUsed/>
    <w:rsid w:val="00B209E7"/>
    <w:pPr>
      <w:tabs>
        <w:tab w:val="center" w:pos="4680"/>
        <w:tab w:val="right" w:pos="9360"/>
      </w:tabs>
    </w:pPr>
  </w:style>
  <w:style w:type="character" w:customStyle="1" w:styleId="FooterChar">
    <w:name w:val="Footer Char"/>
    <w:basedOn w:val="DefaultParagraphFont"/>
    <w:link w:val="Footer"/>
    <w:uiPriority w:val="99"/>
    <w:rsid w:val="00B209E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17425964.2015.107878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igheredtoday.org/2019/10/02/developing-deans-chairs-leader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2/dap.20081" TargetMode="External"/><Relationship Id="rId11" Type="http://schemas.openxmlformats.org/officeDocument/2006/relationships/hyperlink" Target="https://scholarworks.lib.csusb.edu/cgi/viewcontent.cgi?article=1205&amp;context=etd" TargetMode="External"/><Relationship Id="rId5" Type="http://schemas.openxmlformats.org/officeDocument/2006/relationships/endnotes" Target="endnotes.xml"/><Relationship Id="rId10" Type="http://schemas.openxmlformats.org/officeDocument/2006/relationships/hyperlink" Target="https://doi.org/10.1002/he.128" TargetMode="External"/><Relationship Id="rId4" Type="http://schemas.openxmlformats.org/officeDocument/2006/relationships/footnotes" Target="footnotes.xml"/><Relationship Id="rId9" Type="http://schemas.openxmlformats.org/officeDocument/2006/relationships/hyperlink" Target="https://www.huronconsultinggroup.com/insights/dean-development-drives-institutional-outco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Wepner</dc:creator>
  <cp:keywords/>
  <dc:description/>
  <cp:lastModifiedBy>Shelley Wepner</cp:lastModifiedBy>
  <cp:revision>2</cp:revision>
  <dcterms:created xsi:type="dcterms:W3CDTF">2023-10-18T21:00:00Z</dcterms:created>
  <dcterms:modified xsi:type="dcterms:W3CDTF">2023-10-18T21:00:00Z</dcterms:modified>
</cp:coreProperties>
</file>